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trPr>
          <w:trHeight w:val="400"/>
        </w:trPr>
        <w:tc>
          <w:tcPr>
            <w:tcW w:w="9918" w:type="dxa"/>
            <w:gridSpan w:val="3"/>
          </w:tcPr>
          <w:p>
            <w:pPr>
              <w:suppressAutoHyphens/>
              <w:kinsoku w:val="0"/>
              <w:autoSpaceDE w:val="0"/>
              <w:autoSpaceDN w:val="0"/>
              <w:spacing w:line="0"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trPr>
          <w:trHeight w:val="305"/>
        </w:trPr>
        <w:tc>
          <w:tcPr>
            <w:tcW w:w="3306" w:type="dxa"/>
            <w:tcBorders>
              <w:top w:val="single" w:sz="24" w:space="0" w:color="auto"/>
              <w:left w:val="single" w:sz="24" w:space="0" w:color="auto"/>
              <w:bottom w:val="single" w:sz="24" w:space="0" w:color="auto"/>
              <w:right w:val="single" w:sz="24" w:space="0" w:color="auto"/>
            </w:tcBorders>
          </w:tcPr>
          <w:p>
            <w:pPr>
              <w:suppressAutoHyphens/>
              <w:kinsoku w:val="0"/>
              <w:autoSpaceDE w:val="0"/>
              <w:autoSpaceDN w:val="0"/>
              <w:spacing w:line="0" w:lineRule="atLeast"/>
              <w:jc w:val="left"/>
              <w:rPr>
                <w:rFonts w:ascii="ＭＳ ゴシック" w:eastAsia="ＭＳ ゴシック" w:hAnsi="ＭＳ ゴシック"/>
              </w:rPr>
            </w:pPr>
          </w:p>
        </w:tc>
        <w:tc>
          <w:tcPr>
            <w:tcW w:w="3306" w:type="dxa"/>
            <w:tcBorders>
              <w:left w:val="single" w:sz="24" w:space="0" w:color="auto"/>
            </w:tcBorders>
          </w:tcPr>
          <w:p>
            <w:pPr>
              <w:suppressAutoHyphens/>
              <w:kinsoku w:val="0"/>
              <w:autoSpaceDE w:val="0"/>
              <w:autoSpaceDN w:val="0"/>
              <w:spacing w:line="0" w:lineRule="atLeast"/>
              <w:jc w:val="left"/>
              <w:rPr>
                <w:rFonts w:ascii="ＭＳ ゴシック" w:eastAsia="ＭＳ ゴシック" w:hAnsi="ＭＳ ゴシック"/>
              </w:rPr>
            </w:pPr>
          </w:p>
        </w:tc>
        <w:tc>
          <w:tcPr>
            <w:tcW w:w="3306" w:type="dxa"/>
          </w:tcPr>
          <w:p>
            <w:pPr>
              <w:suppressAutoHyphens/>
              <w:kinsoku w:val="0"/>
              <w:autoSpaceDE w:val="0"/>
              <w:autoSpaceDN w:val="0"/>
              <w:spacing w:line="0" w:lineRule="atLeast"/>
              <w:jc w:val="left"/>
              <w:rPr>
                <w:rFonts w:ascii="ＭＳ ゴシック" w:eastAsia="ＭＳ ゴシック" w:hAnsi="ＭＳ ゴシック"/>
              </w:rPr>
            </w:pPr>
          </w:p>
        </w:tc>
      </w:tr>
      <w:tr>
        <w:trPr>
          <w:trHeight w:val="154"/>
        </w:trPr>
        <w:tc>
          <w:tcPr>
            <w:tcW w:w="3306" w:type="dxa"/>
            <w:tcBorders>
              <w:top w:val="single" w:sz="24" w:space="0" w:color="auto"/>
            </w:tcBorders>
          </w:tcPr>
          <w:p>
            <w:pPr>
              <w:suppressAutoHyphens/>
              <w:kinsoku w:val="0"/>
              <w:autoSpaceDE w:val="0"/>
              <w:autoSpaceDN w:val="0"/>
              <w:spacing w:line="0" w:lineRule="atLeast"/>
              <w:jc w:val="left"/>
              <w:rPr>
                <w:rFonts w:ascii="ＭＳ ゴシック" w:eastAsia="ＭＳ ゴシック" w:hAnsi="ＭＳ ゴシック"/>
              </w:rPr>
            </w:pPr>
          </w:p>
        </w:tc>
        <w:tc>
          <w:tcPr>
            <w:tcW w:w="3306" w:type="dxa"/>
          </w:tcPr>
          <w:p>
            <w:pPr>
              <w:suppressAutoHyphens/>
              <w:kinsoku w:val="0"/>
              <w:autoSpaceDE w:val="0"/>
              <w:autoSpaceDN w:val="0"/>
              <w:spacing w:line="0" w:lineRule="atLeast"/>
              <w:jc w:val="left"/>
              <w:rPr>
                <w:rFonts w:ascii="ＭＳ ゴシック" w:eastAsia="ＭＳ ゴシック" w:hAnsi="ＭＳ ゴシック"/>
              </w:rPr>
            </w:pPr>
          </w:p>
        </w:tc>
        <w:tc>
          <w:tcPr>
            <w:tcW w:w="3306" w:type="dxa"/>
          </w:tcPr>
          <w:p>
            <w:pPr>
              <w:suppressAutoHyphens/>
              <w:kinsoku w:val="0"/>
              <w:autoSpaceDE w:val="0"/>
              <w:autoSpaceDN w:val="0"/>
              <w:spacing w:line="0" w:lineRule="atLeast"/>
              <w:jc w:val="left"/>
              <w:rPr>
                <w:rFonts w:ascii="ＭＳ ゴシック" w:eastAsia="ＭＳ ゴシック" w:hAnsi="ＭＳ ゴシック"/>
              </w:rPr>
            </w:pPr>
          </w:p>
        </w:tc>
      </w:tr>
    </w:tbl>
    <w:p>
      <w:pPr>
        <w:suppressAutoHyphens/>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tc>
          <w:tcPr>
            <w:tcW w:w="10035" w:type="dxa"/>
            <w:tcBorders>
              <w:top w:val="single" w:sz="4" w:space="0" w:color="000000"/>
              <w:left w:val="single" w:sz="4" w:space="0" w:color="000000"/>
              <w:bottom w:val="single" w:sz="4" w:space="0" w:color="000000"/>
              <w:right w:val="single" w:sz="4" w:space="0" w:color="000000"/>
            </w:tcBorders>
          </w:tcPr>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中小企業信用保険法第２条第５項第５号の規定による認定申請書（ロ－②）</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spacing w:line="0" w:lineRule="atLeast"/>
              <w:ind w:rightChars="331" w:right="702"/>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岩見沢市長　殿</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申請者</w:t>
            </w:r>
          </w:p>
          <w:p>
            <w:pPr>
              <w:suppressAutoHyphens/>
              <w:kinsoku w:val="0"/>
              <w:overflowPunct w:val="0"/>
              <w:autoSpaceDE w:val="0"/>
              <w:autoSpaceDN w:val="0"/>
              <w:adjustRightInd w:val="0"/>
              <w:spacing w:line="0" w:lineRule="atLeast"/>
              <w:ind w:rightChars="204" w:right="432" w:firstLineChars="2674" w:firstLine="5669"/>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lang w:eastAsia="zh-TW"/>
              </w:rPr>
              <w:t>住　所</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spacing w:line="0" w:lineRule="atLeast"/>
              <w:ind w:rightChars="417" w:right="8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spacing w:line="0" w:lineRule="atLeast"/>
              <w:ind w:rightChars="232" w:right="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af8"/>
              <w:spacing w:line="0" w:lineRule="atLeas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trPr>
                <w:trHeight w:val="366"/>
              </w:trPr>
              <w:tc>
                <w:tcPr>
                  <w:tcW w:w="3263" w:type="dxa"/>
                  <w:tcBorders>
                    <w:top w:val="single" w:sz="24" w:space="0" w:color="auto"/>
                    <w:left w:val="single" w:sz="24" w:space="0" w:color="auto"/>
                    <w:bottom w:val="single" w:sz="24" w:space="0" w:color="auto"/>
                    <w:right w:val="single" w:sz="24" w:space="0" w:color="auto"/>
                  </w:tcBorders>
                </w:tcPr>
                <w:p>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265" w:type="dxa"/>
                </w:tcPr>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trPr>
                <w:trHeight w:val="381"/>
              </w:trPr>
              <w:tc>
                <w:tcPr>
                  <w:tcW w:w="3263" w:type="dxa"/>
                  <w:tcBorders>
                    <w:top w:val="single" w:sz="24" w:space="0" w:color="auto"/>
                  </w:tcBorders>
                </w:tcPr>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265" w:type="dxa"/>
                </w:tcPr>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265" w:type="dxa"/>
                </w:tcPr>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suppressAutoHyphens/>
              <w:kinsoku w:val="0"/>
              <w:overflowPunct w:val="0"/>
              <w:autoSpaceDE w:val="0"/>
              <w:autoSpaceDN w:val="0"/>
              <w:adjustRightInd w:val="0"/>
              <w:spacing w:line="0" w:lineRule="atLeast"/>
              <w:ind w:rightChars="232" w:right="492"/>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u w:val="single"/>
                <w:lang w:eastAsia="zh-TW"/>
              </w:rPr>
              <w:t xml:space="preserve">　　　年　　　月　　　日</w:t>
            </w:r>
          </w:p>
          <w:p>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原油等の仕入単価の上昇（注２）</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指定業種に係る上昇率</w:t>
            </w:r>
            <w:r>
              <w:rPr>
                <w:rFonts w:ascii="ＭＳ ゴシック" w:eastAsia="ＭＳ ゴシック" w:hAnsi="ＭＳ ゴシック"/>
                <w:color w:val="000000"/>
                <w:kern w:val="0"/>
                <w:u w:val="single"/>
              </w:rPr>
              <w:softHyphen/>
            </w:r>
            <w:r>
              <w:rPr>
                <w:rFonts w:ascii="ＭＳ ゴシック" w:eastAsia="ＭＳ ゴシック" w:hAnsi="ＭＳ ゴシック"/>
                <w:color w:val="000000"/>
                <w:kern w:val="0"/>
                <w:u w:val="single"/>
              </w:rPr>
              <w:softHyphen/>
            </w:r>
            <w:r>
              <w:rPr>
                <w:rFonts w:ascii="ＭＳ ゴシック" w:eastAsia="ＭＳ ゴシック" w:hAnsi="ＭＳ ゴシック" w:hint="eastAsia"/>
                <w:color w:val="000000"/>
                <w:kern w:val="0"/>
                <w:u w:val="single"/>
              </w:rPr>
              <w:t xml:space="preserve">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pPr>
              <w:suppressAutoHyphens/>
              <w:kinsoku w:val="0"/>
              <w:overflowPunct w:val="0"/>
              <w:autoSpaceDE w:val="0"/>
              <w:autoSpaceDN w:val="0"/>
              <w:adjustRightInd w:val="0"/>
              <w:spacing w:line="0" w:lineRule="atLeast"/>
              <w:ind w:leftChars="30" w:left="64" w:firstLineChars="250" w:firstLine="6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r>
              <w:rPr>
                <w:rFonts w:ascii="ＭＳ ゴシック" w:eastAsia="ＭＳ ゴシック" w:hAnsi="ＭＳ ゴシック"/>
                <w:color w:val="000000"/>
                <w:spacing w:val="16"/>
                <w:kern w:val="0"/>
              </w:rPr>
              <w:t xml:space="preserve">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pPr>
              <w:suppressAutoHyphens/>
              <w:kinsoku w:val="0"/>
              <w:overflowPunct w:val="0"/>
              <w:autoSpaceDE w:val="0"/>
              <w:autoSpaceDN w:val="0"/>
              <w:adjustRightInd w:val="0"/>
              <w:spacing w:line="0" w:lineRule="atLeast"/>
              <w:ind w:firstLineChars="250" w:firstLine="6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r>
              <w:rPr>
                <w:rFonts w:ascii="ＭＳ ゴシック" w:eastAsia="ＭＳ ゴシック" w:hAnsi="ＭＳ ゴシック"/>
                <w:color w:val="000000"/>
                <w:spacing w:val="16"/>
                <w:kern w:val="0"/>
              </w:rPr>
              <w:t xml:space="preserve">                    </w:t>
            </w:r>
          </w:p>
          <w:p>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原油等が売上原価に占める割合（注２）</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指定業種に係る依存率</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全体に係る依存率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spacing w:line="0" w:lineRule="atLeast"/>
              <w:ind w:left="182" w:firstLineChars="100" w:firstLine="21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Ｃ：最近１か月の売上原価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指定業種に係る売上原価</w:t>
            </w:r>
            <w:r>
              <w:rPr>
                <w:rFonts w:ascii="ＭＳ ゴシック" w:eastAsia="ＭＳ ゴシック" w:hAnsi="ＭＳ ゴシック" w:hint="eastAsia"/>
                <w:color w:val="000000"/>
                <w:kern w:val="0"/>
                <w:u w:val="single" w:color="000000"/>
              </w:rPr>
              <w:t xml:space="preserve">　　　　　　　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u w:val="single"/>
              </w:rPr>
              <w:t>全体にかかる売上原価</w:t>
            </w:r>
            <w:r>
              <w:rPr>
                <w:rFonts w:ascii="ＭＳ ゴシック" w:eastAsia="ＭＳ ゴシック" w:hAnsi="ＭＳ ゴシック" w:hint="eastAsia"/>
                <w:color w:val="000000"/>
                <w:kern w:val="0"/>
                <w:u w:val="single" w:color="000000"/>
              </w:rPr>
              <w:t xml:space="preserve">　　　　　　　　　 円</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Ｓ：Ｃの売上原価に対応する原油等の仕入額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指定業種に係る仕入額</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全体に係る仕入額</w:t>
            </w:r>
            <w:r>
              <w:rPr>
                <w:rFonts w:ascii="ＭＳ ゴシック" w:eastAsia="ＭＳ ゴシック" w:hAnsi="ＭＳ ゴシック" w:hint="eastAsia"/>
                <w:color w:val="000000"/>
                <w:kern w:val="0"/>
                <w:u w:val="single" w:color="000000"/>
              </w:rPr>
              <w:t xml:space="preserve">　　　　　　　　　　　 円</w:t>
            </w:r>
          </w:p>
          <w:p>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製品等価格への転嫁の状況（注３）</w:t>
            </w:r>
          </w:p>
          <w:p>
            <w:pPr>
              <w:tabs>
                <w:tab w:val="center" w:pos="4252"/>
                <w:tab w:val="right" w:pos="8504"/>
              </w:tabs>
              <w:suppressAutoHyphens/>
              <w:kinsoku w:val="0"/>
              <w:overflowPunct w:val="0"/>
              <w:autoSpaceDE w:val="0"/>
              <w:autoSpaceDN w:val="0"/>
              <w:adjustRightInd w:val="0"/>
              <w:snapToGrid w:val="0"/>
              <w:spacing w:line="0" w:lineRule="atLeas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指定業種に係る転嫁の状況　Ｐ＝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p>
          <w:p>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全体に係る転嫁の状況</w:t>
            </w:r>
            <w:r>
              <w:rPr>
                <w:rFonts w:ascii="ＭＳ ゴシック" w:eastAsia="ＭＳ ゴシック" w:hAnsi="ＭＳ ゴシック" w:hint="eastAsia"/>
                <w:color w:val="000000"/>
                <w:kern w:val="0"/>
                <w:u w:val="single" w:color="000000"/>
              </w:rPr>
              <w:t xml:space="preserve">　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hint="eastAsia"/>
                <w:color w:val="000000"/>
                <w:kern w:val="0"/>
                <w:u w:val="single" w:color="000000"/>
              </w:rPr>
              <w:t>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ａ：Ａの期間に対応する前年３か月間の原油等の仕入額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color w:val="000000"/>
                <w:spacing w:val="16"/>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Ｂ：最近３か月間の売上高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指定業種に係る売上高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ｂ：Ｂの期間に対応する前年３か月間の売上高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指定業種に係る売上高</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u w:val="single" w:color="000000"/>
              </w:rPr>
            </w:pP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u w:val="single" w:color="000000"/>
              </w:rPr>
            </w:pPr>
          </w:p>
          <w:p>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岩商第　　　　号</w:t>
            </w:r>
          </w:p>
          <w:p>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認定者名　　岩見沢市長　松野　哲</w:t>
            </w:r>
          </w:p>
          <w:p>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pPr>
        <w:suppressAutoHyphens/>
        <w:spacing w:line="0" w:lineRule="atLeast"/>
        <w:ind w:left="18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kern w:val="0"/>
        </w:rPr>
        <w:t>（注３）Ｐ＞０となっていること。</w:t>
      </w:r>
    </w:p>
    <w:p>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pPr>
        <w:pStyle w:val="af0"/>
        <w:numPr>
          <w:ilvl w:val="0"/>
          <w:numId w:val="15"/>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pPr>
        <w:pStyle w:val="af0"/>
        <w:numPr>
          <w:ilvl w:val="0"/>
          <w:numId w:val="15"/>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pPr>
        <w:suppressAutoHyphens/>
        <w:spacing w:line="0" w:lineRule="atLeast"/>
        <w:jc w:val="left"/>
        <w:textAlignment w:val="baseline"/>
        <w:rPr>
          <w:rFonts w:ascii="ＭＳ ゴシック" w:eastAsia="ＭＳ ゴシック" w:hAnsi="ＭＳ ゴシック"/>
          <w:color w:val="000000"/>
          <w:spacing w:val="16"/>
          <w:kern w:val="0"/>
        </w:rPr>
      </w:pPr>
    </w:p>
    <w:p>
      <w:pPr>
        <w:suppressAutoHyphens/>
        <w:spacing w:line="0" w:lineRule="atLeast"/>
        <w:jc w:val="left"/>
        <w:textAlignment w:val="baseline"/>
        <w:rPr>
          <w:rFonts w:ascii="ＭＳ ゴシック" w:eastAsia="ＭＳ ゴシック" w:hAnsi="ＭＳ ゴシック"/>
          <w:color w:val="000000"/>
          <w:spacing w:val="16"/>
          <w:kern w:val="0"/>
        </w:rPr>
      </w:pPr>
    </w:p>
    <w:p>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pPr>
        <w:widowControl/>
        <w:spacing w:line="0" w:lineRule="atLeast"/>
        <w:jc w:val="righ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lastRenderedPageBreak/>
        <w:t>（認定申請書ロ－②の添付書類（例））</w:t>
      </w:r>
    </w:p>
    <w:p>
      <w:pPr>
        <w:suppressAutoHyphens/>
        <w:kinsoku w:val="0"/>
        <w:autoSpaceDE w:val="0"/>
        <w:autoSpaceDN w:val="0"/>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（名称及び代表者の氏名）　　</w:t>
      </w:r>
    </w:p>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pPr>
        <w:widowControl/>
        <w:spacing w:line="0" w:lineRule="atLeast"/>
        <w:ind w:firstLineChars="100" w:firstLine="242"/>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tc>
          <w:tcPr>
            <w:tcW w:w="2865" w:type="dxa"/>
          </w:tcPr>
          <w:p>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2784" w:type="dxa"/>
          </w:tcPr>
          <w:p>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2845" w:type="dxa"/>
          </w:tcPr>
          <w:p>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tc>
          <w:tcPr>
            <w:tcW w:w="2865"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2784"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845"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2865"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2784"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845"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2865"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2784"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845"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2865" w:type="dxa"/>
          </w:tcPr>
          <w:p>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2784"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845"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pPr>
        <w:widowControl/>
        <w:spacing w:line="0" w:lineRule="atLeast"/>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※：業種欄には</w:t>
      </w:r>
      <w:r>
        <w:rPr>
          <w:rFonts w:ascii="ＭＳ ゴシック" w:eastAsia="ＭＳ ゴシック" w:hAnsi="ＭＳ ゴシック" w:hint="eastAsia"/>
          <w:color w:val="000000"/>
          <w:spacing w:val="16"/>
          <w:kern w:val="0"/>
          <w:sz w:val="24"/>
        </w:rPr>
        <w:t>日本標準産業分類の細分類番号と細分類業種名を記載。</w:t>
      </w:r>
    </w:p>
    <w:p>
      <w:pPr>
        <w:widowControl/>
        <w:spacing w:line="0" w:lineRule="atLeast"/>
        <w:jc w:val="left"/>
        <w:rPr>
          <w:rFonts w:ascii="ＭＳ ゴシック" w:eastAsia="ＭＳ ゴシック" w:hAnsi="ＭＳ ゴシック"/>
          <w:color w:val="000000"/>
          <w:spacing w:val="16"/>
          <w:kern w:val="0"/>
          <w:sz w:val="22"/>
          <w:szCs w:val="22"/>
        </w:rPr>
      </w:pPr>
      <w:r>
        <w:rPr>
          <w:rFonts w:ascii="ＭＳ ゴシック" w:eastAsia="ＭＳ ゴシック" w:hAnsi="ＭＳ ゴシック" w:hint="eastAsia"/>
          <w:color w:val="000000"/>
          <w:spacing w:val="6"/>
          <w:w w:val="92"/>
          <w:kern w:val="0"/>
          <w:sz w:val="22"/>
          <w:szCs w:val="22"/>
          <w:fitText w:val="8580" w:id="-776214012"/>
        </w:rPr>
        <w:t>（表２：最近１か月間における</w:t>
      </w:r>
      <w:r>
        <w:rPr>
          <w:rFonts w:ascii="ＭＳ ゴシック" w:eastAsia="ＭＳ ゴシック" w:hAnsi="ＭＳ ゴシック" w:hint="eastAsia"/>
          <w:color w:val="000000"/>
          <w:spacing w:val="6"/>
          <w:kern w:val="0"/>
          <w:sz w:val="22"/>
          <w:szCs w:val="22"/>
          <w:fitText w:val="8580" w:id="-776214012"/>
        </w:rPr>
        <w:t>企業</w:t>
      </w:r>
      <w:r>
        <w:rPr>
          <w:rFonts w:ascii="ＭＳ ゴシック" w:eastAsia="ＭＳ ゴシック" w:hAnsi="ＭＳ ゴシック" w:hint="eastAsia"/>
          <w:color w:val="000000"/>
          <w:spacing w:val="6"/>
          <w:w w:val="92"/>
          <w:kern w:val="0"/>
          <w:sz w:val="22"/>
          <w:szCs w:val="22"/>
          <w:fitText w:val="8580" w:id="-776214012"/>
        </w:rPr>
        <w:t>全体の売上原価に占める指定業種の売上原価の割合</w:t>
      </w:r>
      <w:r>
        <w:rPr>
          <w:rFonts w:ascii="ＭＳ ゴシック" w:eastAsia="ＭＳ ゴシック" w:hAnsi="ＭＳ ゴシック" w:hint="eastAsia"/>
          <w:color w:val="000000"/>
          <w:spacing w:val="15"/>
          <w:w w:val="92"/>
          <w:kern w:val="0"/>
          <w:sz w:val="22"/>
          <w:szCs w:val="22"/>
          <w:fitText w:val="8580" w:id="-776214012"/>
        </w:rPr>
        <w:t>）</w:t>
      </w:r>
    </w:p>
    <w:tbl>
      <w:tblPr>
        <w:tblStyle w:val="a3"/>
        <w:tblW w:w="0" w:type="auto"/>
        <w:tblLook w:val="04A0" w:firstRow="1" w:lastRow="0" w:firstColumn="1" w:lastColumn="0" w:noHBand="0" w:noVBand="1"/>
      </w:tblPr>
      <w:tblGrid>
        <w:gridCol w:w="4673"/>
        <w:gridCol w:w="3821"/>
      </w:tblGrid>
      <w:tr>
        <w:tc>
          <w:tcPr>
            <w:tcW w:w="4673"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企業全体の最近１か月間の売上原価【a】</w:t>
            </w:r>
          </w:p>
        </w:tc>
        <w:tc>
          <w:tcPr>
            <w:tcW w:w="3821"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tc>
          <w:tcPr>
            <w:tcW w:w="4673"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指定業種の最近１か月間の売上原価【b】</w:t>
            </w:r>
          </w:p>
        </w:tc>
        <w:tc>
          <w:tcPr>
            <w:tcW w:w="3821"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tc>
          <w:tcPr>
            <w:tcW w:w="4673" w:type="dxa"/>
          </w:tcPr>
          <w:p>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【b】/【a】×100</w:t>
            </w:r>
          </w:p>
        </w:tc>
        <w:tc>
          <w:tcPr>
            <w:tcW w:w="3821" w:type="dxa"/>
          </w:tcPr>
          <w:p>
            <w:pPr>
              <w:widowControl/>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suppressAutoHyphens/>
        <w:kinsoku w:val="0"/>
        <w:autoSpaceDE w:val="0"/>
        <w:autoSpaceDN w:val="0"/>
        <w:spacing w:beforeLines="50" w:before="183" w:line="0" w:lineRule="atLeast"/>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tc>
          <w:tcPr>
            <w:tcW w:w="1271" w:type="dxa"/>
          </w:tcPr>
          <w:p>
            <w:pPr>
              <w:spacing w:line="0" w:lineRule="atLeast"/>
              <w:rPr>
                <w:rFonts w:ascii="ＭＳ ゴシック" w:eastAsia="ＭＳ ゴシック" w:hAnsi="ＭＳ ゴシック"/>
                <w:sz w:val="24"/>
              </w:rPr>
            </w:pPr>
          </w:p>
        </w:tc>
        <w:tc>
          <w:tcPr>
            <w:tcW w:w="2738" w:type="dxa"/>
          </w:tcPr>
          <w:p>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原油等の最近１か月間の平均仕入単価</w:t>
            </w:r>
          </w:p>
        </w:tc>
        <w:tc>
          <w:tcPr>
            <w:tcW w:w="2342" w:type="dxa"/>
          </w:tcPr>
          <w:p>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原油等の前年同月の平均仕入単価</w:t>
            </w:r>
          </w:p>
        </w:tc>
        <w:tc>
          <w:tcPr>
            <w:tcW w:w="2433" w:type="dxa"/>
          </w:tcPr>
          <w:p>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原油等の仕入単価の上昇率</w:t>
            </w:r>
          </w:p>
          <w:p>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（E/ｅ×100－100）</w:t>
            </w:r>
          </w:p>
        </w:tc>
      </w:tr>
      <w:tr>
        <w:tc>
          <w:tcPr>
            <w:tcW w:w="1271"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738"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342"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433"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suppressAutoHyphens/>
        <w:kinsoku w:val="0"/>
        <w:autoSpaceDE w:val="0"/>
        <w:autoSpaceDN w:val="0"/>
        <w:spacing w:beforeLines="50" w:before="183" w:line="0" w:lineRule="atLeast"/>
        <w:jc w:val="left"/>
        <w:rPr>
          <w:rFonts w:ascii="ＭＳ ゴシック" w:eastAsia="ＭＳ ゴシック" w:hAnsi="ＭＳ ゴシック"/>
          <w:sz w:val="24"/>
        </w:rPr>
      </w:pPr>
      <w:r>
        <w:rPr>
          <w:rFonts w:ascii="ＭＳ ゴシック" w:eastAsia="ＭＳ ゴシック" w:hAnsi="ＭＳ ゴシック" w:hint="eastAsia"/>
          <w:spacing w:val="6"/>
          <w:w w:val="87"/>
          <w:kern w:val="0"/>
          <w:sz w:val="24"/>
          <w:fitText w:val="8580" w:id="-776214011"/>
        </w:rPr>
        <w:t>（表４：指定業種及び</w:t>
      </w:r>
      <w:r>
        <w:rPr>
          <w:rFonts w:ascii="ＭＳ ゴシック" w:eastAsia="ＭＳ ゴシック" w:hAnsi="ＭＳ ゴシック" w:hint="eastAsia"/>
          <w:spacing w:val="6"/>
          <w:w w:val="85"/>
          <w:kern w:val="0"/>
          <w:sz w:val="24"/>
          <w:fitText w:val="8580" w:id="-776214011"/>
        </w:rPr>
        <w:t>企業</w:t>
      </w:r>
      <w:r>
        <w:rPr>
          <w:rFonts w:ascii="ＭＳ ゴシック" w:eastAsia="ＭＳ ゴシック" w:hAnsi="ＭＳ ゴシック" w:hint="eastAsia"/>
          <w:spacing w:val="6"/>
          <w:w w:val="87"/>
          <w:kern w:val="0"/>
          <w:sz w:val="24"/>
          <w:fitText w:val="8580" w:id="-776214011"/>
        </w:rPr>
        <w:t>全体それぞれの売上原価に占める原油等の仕入価格の割合</w:t>
      </w:r>
      <w:r>
        <w:rPr>
          <w:rFonts w:ascii="ＭＳ ゴシック" w:eastAsia="ＭＳ ゴシック" w:hAnsi="ＭＳ ゴシック" w:cs="ＭＳ ゴシック" w:hint="eastAsia"/>
          <w:color w:val="000000"/>
          <w:spacing w:val="9"/>
          <w:w w:val="87"/>
          <w:kern w:val="0"/>
          <w:sz w:val="24"/>
          <w:fitText w:val="8580" w:id="-77621401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trPr>
          <w:trHeight w:val="884"/>
        </w:trPr>
        <w:tc>
          <w:tcPr>
            <w:tcW w:w="1689" w:type="dxa"/>
          </w:tcPr>
          <w:p>
            <w:pPr>
              <w:spacing w:line="0" w:lineRule="atLeast"/>
              <w:rPr>
                <w:rFonts w:ascii="ＭＳ ゴシック" w:eastAsia="ＭＳ ゴシック" w:hAnsi="ＭＳ ゴシック"/>
                <w:sz w:val="24"/>
              </w:rPr>
            </w:pPr>
          </w:p>
        </w:tc>
        <w:tc>
          <w:tcPr>
            <w:tcW w:w="2417"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w:t>
            </w:r>
          </w:p>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売上原価</w:t>
            </w:r>
          </w:p>
          <w:p>
            <w:pPr>
              <w:spacing w:line="0" w:lineRule="atLeast"/>
              <w:jc w:val="center"/>
              <w:rPr>
                <w:rFonts w:ascii="ＭＳ ゴシック" w:eastAsia="ＭＳ ゴシック" w:hAnsi="ＭＳ ゴシック"/>
                <w:sz w:val="24"/>
              </w:rPr>
            </w:pPr>
          </w:p>
        </w:tc>
        <w:tc>
          <w:tcPr>
            <w:tcW w:w="2693"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最近１か月間の売上原価に対応する原油等の仕入価格</w:t>
            </w:r>
          </w:p>
        </w:tc>
        <w:tc>
          <w:tcPr>
            <w:tcW w:w="2987"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売上原価に占める原油等の仕入価格の割合</w:t>
            </w:r>
          </w:p>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（S/C×100）</w:t>
            </w:r>
          </w:p>
        </w:tc>
      </w:tr>
      <w:tr>
        <w:trPr>
          <w:trHeight w:val="363"/>
        </w:trPr>
        <w:tc>
          <w:tcPr>
            <w:tcW w:w="1689"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417"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693" w:type="dxa"/>
            <w:vAlign w:val="center"/>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987"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rPr>
          <w:trHeight w:val="363"/>
        </w:trPr>
        <w:tc>
          <w:tcPr>
            <w:tcW w:w="1689" w:type="dxa"/>
          </w:tcPr>
          <w:p>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417"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693" w:type="dxa"/>
            <w:vAlign w:val="center"/>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987" w:type="dxa"/>
          </w:tcPr>
          <w:p>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suppressAutoHyphens/>
        <w:kinsoku w:val="0"/>
        <w:autoSpaceDE w:val="0"/>
        <w:autoSpaceDN w:val="0"/>
        <w:spacing w:beforeLines="50" w:before="183" w:line="0" w:lineRule="atLeast"/>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sz w:val="24"/>
        </w:rPr>
        <w:t>（表５：</w:t>
      </w:r>
      <w:r>
        <w:rPr>
          <w:rFonts w:ascii="ＭＳ ゴシック" w:eastAsia="ＭＳ ゴシック" w:hAnsi="ＭＳ ゴシック" w:cs="ＭＳ ゴシック" w:hint="eastAsia"/>
          <w:color w:val="000000"/>
          <w:kern w:val="0"/>
          <w:sz w:val="24"/>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tc>
          <w:tcPr>
            <w:tcW w:w="809" w:type="dxa"/>
          </w:tcPr>
          <w:p>
            <w:pPr>
              <w:suppressAutoHyphens/>
              <w:kinsoku w:val="0"/>
              <w:autoSpaceDE w:val="0"/>
              <w:autoSpaceDN w:val="0"/>
              <w:spacing w:line="0" w:lineRule="atLeast"/>
              <w:jc w:val="left"/>
              <w:rPr>
                <w:rFonts w:ascii="ＭＳ ゴシック" w:eastAsia="ＭＳ ゴシック" w:hAnsi="ＭＳ ゴシック"/>
                <w:sz w:val="24"/>
              </w:rPr>
            </w:pPr>
          </w:p>
        </w:tc>
        <w:tc>
          <w:tcPr>
            <w:tcW w:w="1596"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最近３か月間の原油等の</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仕入価格</w:t>
            </w:r>
          </w:p>
        </w:tc>
        <w:tc>
          <w:tcPr>
            <w:tcW w:w="1510"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最近３か月間の売上高</w:t>
            </w:r>
          </w:p>
        </w:tc>
        <w:tc>
          <w:tcPr>
            <w:tcW w:w="938"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tc>
        <w:tc>
          <w:tcPr>
            <w:tcW w:w="1397"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前年同期の原油等の</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仕入価格</w:t>
            </w:r>
          </w:p>
        </w:tc>
        <w:tc>
          <w:tcPr>
            <w:tcW w:w="1458"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前年同期の</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売上高</w:t>
            </w:r>
          </w:p>
        </w:tc>
        <w:tc>
          <w:tcPr>
            <w:tcW w:w="935"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tc>
        <w:tc>
          <w:tcPr>
            <w:tcW w:w="1137"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－（a/b）＝Ｐ</w:t>
            </w:r>
          </w:p>
        </w:tc>
      </w:tr>
      <w:tr>
        <w:tc>
          <w:tcPr>
            <w:tcW w:w="809"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指定</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1596"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510"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8" w:type="dxa"/>
          </w:tcPr>
          <w:p>
            <w:pPr>
              <w:suppressAutoHyphens/>
              <w:kinsoku w:val="0"/>
              <w:autoSpaceDE w:val="0"/>
              <w:autoSpaceDN w:val="0"/>
              <w:spacing w:line="0" w:lineRule="atLeast"/>
              <w:jc w:val="right"/>
              <w:rPr>
                <w:rFonts w:ascii="ＭＳ ゴシック" w:eastAsia="ＭＳ ゴシック" w:hAnsi="ＭＳ ゴシック"/>
                <w:sz w:val="24"/>
              </w:rPr>
            </w:pPr>
          </w:p>
        </w:tc>
        <w:tc>
          <w:tcPr>
            <w:tcW w:w="1397"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458"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5" w:type="dxa"/>
          </w:tcPr>
          <w:p>
            <w:pPr>
              <w:suppressAutoHyphens/>
              <w:kinsoku w:val="0"/>
              <w:autoSpaceDE w:val="0"/>
              <w:autoSpaceDN w:val="0"/>
              <w:spacing w:line="0" w:lineRule="atLeast"/>
              <w:jc w:val="right"/>
              <w:rPr>
                <w:rFonts w:ascii="ＭＳ ゴシック" w:eastAsia="ＭＳ ゴシック" w:hAnsi="ＭＳ ゴシック"/>
                <w:sz w:val="24"/>
              </w:rPr>
            </w:pPr>
          </w:p>
        </w:tc>
        <w:tc>
          <w:tcPr>
            <w:tcW w:w="1137" w:type="dxa"/>
          </w:tcPr>
          <w:p>
            <w:pPr>
              <w:suppressAutoHyphens/>
              <w:kinsoku w:val="0"/>
              <w:autoSpaceDE w:val="0"/>
              <w:autoSpaceDN w:val="0"/>
              <w:spacing w:line="0" w:lineRule="atLeast"/>
              <w:jc w:val="right"/>
              <w:rPr>
                <w:rFonts w:ascii="ＭＳ ゴシック" w:eastAsia="ＭＳ ゴシック" w:hAnsi="ＭＳ ゴシック"/>
                <w:sz w:val="24"/>
              </w:rPr>
            </w:pPr>
          </w:p>
        </w:tc>
      </w:tr>
      <w:tr>
        <w:tc>
          <w:tcPr>
            <w:tcW w:w="809" w:type="dxa"/>
          </w:tcPr>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pPr>
              <w:suppressAutoHyphens/>
              <w:kinsoku w:val="0"/>
              <w:autoSpaceDE w:val="0"/>
              <w:autoSpaceDN w:val="0"/>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全体</w:t>
            </w:r>
          </w:p>
        </w:tc>
        <w:tc>
          <w:tcPr>
            <w:tcW w:w="1596"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510"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8" w:type="dxa"/>
          </w:tcPr>
          <w:p>
            <w:pPr>
              <w:suppressAutoHyphens/>
              <w:kinsoku w:val="0"/>
              <w:autoSpaceDE w:val="0"/>
              <w:autoSpaceDN w:val="0"/>
              <w:spacing w:line="0" w:lineRule="atLeast"/>
              <w:jc w:val="right"/>
              <w:rPr>
                <w:rFonts w:ascii="ＭＳ ゴシック" w:eastAsia="ＭＳ ゴシック" w:hAnsi="ＭＳ ゴシック"/>
                <w:sz w:val="24"/>
              </w:rPr>
            </w:pPr>
          </w:p>
        </w:tc>
        <w:tc>
          <w:tcPr>
            <w:tcW w:w="1397"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458" w:type="dxa"/>
          </w:tcPr>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pPr>
              <w:suppressAutoHyphens/>
              <w:kinsoku w:val="0"/>
              <w:autoSpaceDE w:val="0"/>
              <w:autoSpaceDN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5" w:type="dxa"/>
          </w:tcPr>
          <w:p>
            <w:pPr>
              <w:suppressAutoHyphens/>
              <w:kinsoku w:val="0"/>
              <w:autoSpaceDE w:val="0"/>
              <w:autoSpaceDN w:val="0"/>
              <w:spacing w:line="0" w:lineRule="atLeast"/>
              <w:jc w:val="right"/>
              <w:rPr>
                <w:rFonts w:ascii="ＭＳ ゴシック" w:eastAsia="ＭＳ ゴシック" w:hAnsi="ＭＳ ゴシック"/>
                <w:sz w:val="24"/>
              </w:rPr>
            </w:pPr>
          </w:p>
        </w:tc>
        <w:tc>
          <w:tcPr>
            <w:tcW w:w="1137" w:type="dxa"/>
          </w:tcPr>
          <w:p>
            <w:pPr>
              <w:suppressAutoHyphens/>
              <w:kinsoku w:val="0"/>
              <w:autoSpaceDE w:val="0"/>
              <w:autoSpaceDN w:val="0"/>
              <w:spacing w:line="0" w:lineRule="atLeast"/>
              <w:jc w:val="right"/>
              <w:rPr>
                <w:rFonts w:ascii="ＭＳ ゴシック" w:eastAsia="ＭＳ ゴシック" w:hAnsi="ＭＳ ゴシック"/>
                <w:sz w:val="24"/>
              </w:rPr>
            </w:pPr>
          </w:p>
        </w:tc>
      </w:tr>
    </w:tbl>
    <w:p>
      <w:pPr>
        <w:widowControl/>
        <w:spacing w:line="0" w:lineRule="atLeast"/>
        <w:ind w:left="726" w:hangingChars="300" w:hanging="726"/>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など）や、上記の原油等の仕入価格、売上原価及び売上高が分かる書類等（例えば、仕入帳、試算表、売上台帳など）の提出が必要。</w:t>
      </w:r>
    </w:p>
    <w:sectPr>
      <w:footerReference w:type="default" r:id="rId11"/>
      <w:pgSz w:w="11906" w:h="16838"/>
      <w:pgMar w:top="851" w:right="851" w:bottom="284" w:left="1134"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8"/>
      <w:jc w:val="center"/>
    </w:pPr>
  </w:p>
  <w:p>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Theme="majorHAnsi" w:eastAsiaTheme="majorEastAsia" w:hAnsiTheme="majorHAnsi"/>
      <w:sz w:val="24"/>
      <w:szCs w:val="20"/>
    </w:rPr>
  </w:style>
  <w:style w:type="paragraph" w:styleId="2">
    <w:name w:val="heading 2"/>
    <w:basedOn w:val="a"/>
    <w:next w:val="a"/>
    <w:link w:val="20"/>
    <w:qFormat/>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semiHidden/>
    <w:rPr>
      <w:b/>
      <w:bCs/>
    </w:rPr>
  </w:style>
  <w:style w:type="character" w:customStyle="1" w:styleId="a7">
    <w:name w:val="ヘッダー (文字)"/>
    <w:link w:val="a6"/>
    <w:locked/>
    <w:rPr>
      <w:kern w:val="2"/>
      <w:sz w:val="21"/>
      <w:szCs w:val="24"/>
    </w:rPr>
  </w:style>
  <w:style w:type="character" w:customStyle="1" w:styleId="a9">
    <w:name w:val="フッター (文字)"/>
    <w:link w:val="a8"/>
    <w:uiPriority w:val="99"/>
    <w:locked/>
    <w:rPr>
      <w:kern w:val="2"/>
      <w:sz w:val="21"/>
      <w:szCs w:val="24"/>
    </w:rPr>
  </w:style>
  <w:style w:type="paragraph" w:styleId="af0">
    <w:name w:val="List Paragraph"/>
    <w:basedOn w:val="a"/>
    <w:qFormat/>
    <w:pPr>
      <w:ind w:leftChars="400" w:left="840"/>
    </w:pPr>
    <w:rPr>
      <w:szCs w:val="22"/>
    </w:rPr>
  </w:style>
  <w:style w:type="paragraph" w:styleId="af1">
    <w:name w:val="Date"/>
    <w:basedOn w:val="a"/>
    <w:next w:val="a"/>
    <w:link w:val="af2"/>
  </w:style>
  <w:style w:type="character" w:customStyle="1" w:styleId="af2">
    <w:name w:val="日付 (文字)"/>
    <w:link w:val="af1"/>
    <w:rPr>
      <w:kern w:val="2"/>
      <w:sz w:val="21"/>
      <w:szCs w:val="24"/>
    </w:rPr>
  </w:style>
  <w:style w:type="paragraph" w:styleId="af3">
    <w:name w:val="Plain Text"/>
    <w:basedOn w:val="a"/>
    <w:link w:val="af4"/>
    <w:unhideWhenUsed/>
    <w:pPr>
      <w:jc w:val="left"/>
    </w:pPr>
    <w:rPr>
      <w:rFonts w:ascii="ＭＳ ゴシック" w:eastAsia="ＭＳ ゴシック" w:hAnsi="Courier New"/>
      <w:sz w:val="20"/>
      <w:szCs w:val="21"/>
    </w:rPr>
  </w:style>
  <w:style w:type="character" w:customStyle="1" w:styleId="af4">
    <w:name w:val="書式なし (文字)"/>
    <w:link w:val="af3"/>
    <w:rPr>
      <w:rFonts w:ascii="ＭＳ ゴシック" w:eastAsia="ＭＳ ゴシック" w:hAnsi="Courier New" w:cs="Courier New"/>
      <w:kern w:val="2"/>
      <w:szCs w:val="21"/>
    </w:rPr>
  </w:style>
  <w:style w:type="paragraph" w:styleId="af5">
    <w:name w:val="Revision"/>
    <w:hidden/>
    <w:rPr>
      <w:kern w:val="2"/>
      <w:sz w:val="21"/>
      <w:szCs w:val="24"/>
    </w:rPr>
  </w:style>
  <w:style w:type="character" w:customStyle="1" w:styleId="ad">
    <w:name w:val="コメント文字列 (文字)"/>
    <w:basedOn w:val="a0"/>
    <w:link w:val="ac"/>
    <w:rPr>
      <w:kern w:val="2"/>
      <w:sz w:val="21"/>
      <w:szCs w:val="24"/>
    </w:rPr>
  </w:style>
  <w:style w:type="paragraph" w:styleId="af6">
    <w:name w:val="Note Heading"/>
    <w:basedOn w:val="a"/>
    <w:next w:val="a"/>
    <w:link w:val="af7"/>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Pr>
      <w:rFonts w:ascii="ＭＳ ゴシック" w:eastAsia="ＭＳ ゴシック" w:hAnsi="ＭＳ ゴシック" w:cs="ＭＳ ゴシック"/>
      <w:color w:val="000000"/>
      <w:sz w:val="21"/>
      <w:szCs w:val="21"/>
    </w:rPr>
  </w:style>
  <w:style w:type="paragraph" w:styleId="af8">
    <w:name w:val="Closing"/>
    <w:basedOn w:val="a"/>
    <w:link w:val="af9"/>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Pr>
      <w:rFonts w:ascii="ＭＳ ゴシック" w:eastAsia="ＭＳ ゴシック" w:hAnsi="ＭＳ ゴシック" w:cs="ＭＳ ゴシック"/>
      <w:color w:val="000000"/>
      <w:sz w:val="21"/>
      <w:szCs w:val="21"/>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paragraph" w:styleId="afa">
    <w:name w:val="TOC Heading"/>
    <w:basedOn w:val="1"/>
    <w:next w:val="a"/>
    <w:qFormat/>
    <w:pPr>
      <w:outlineLvl w:val="9"/>
    </w:pPr>
  </w:style>
  <w:style w:type="character" w:customStyle="1" w:styleId="a5">
    <w:name w:val="吹き出し (文字)"/>
    <w:basedOn w:val="a0"/>
    <w:link w:val="a4"/>
    <w:rPr>
      <w:rFonts w:ascii="Arial" w:eastAsia="ＭＳ ゴシック" w:hAnsi="Arial"/>
      <w:kern w:val="2"/>
      <w:sz w:val="18"/>
      <w:szCs w:val="18"/>
    </w:rPr>
  </w:style>
  <w:style w:type="character" w:styleId="afb">
    <w:name w:val="Placeholder Text"/>
    <w:basedOn w:val="a0"/>
    <w:rPr>
      <w:color w:val="808080"/>
    </w:rPr>
  </w:style>
  <w:style w:type="character" w:customStyle="1" w:styleId="af">
    <w:name w:val="コメント内容 (文字)"/>
    <w:basedOn w:val="ad"/>
    <w:link w:val="ae"/>
    <w:rPr>
      <w:b/>
      <w:bCs/>
      <w:kern w:val="2"/>
      <w:sz w:val="21"/>
      <w:szCs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character" w:customStyle="1" w:styleId="p">
    <w:name w:val="p"/>
    <w:basedOn w:val="a0"/>
  </w:style>
  <w:style w:type="character" w:styleId="afe">
    <w:name w:val="Hyperlink"/>
    <w:basedOn w:val="a0"/>
    <w:unhideWhenUsed/>
    <w:rPr>
      <w:color w:val="0000FF" w:themeColor="hyperlink"/>
      <w:u w:val="single"/>
    </w:rPr>
  </w:style>
  <w:style w:type="character" w:styleId="a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1870</Words>
  <Characters>1106</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lg23090</cp:lastModifiedBy>
  <cp:revision>20</cp:revision>
  <cp:lastPrinted>2025-01-21T09:11:00Z</cp:lastPrinted>
  <dcterms:created xsi:type="dcterms:W3CDTF">2024-09-30T11:54:00Z</dcterms:created>
  <dcterms:modified xsi:type="dcterms:W3CDTF">2025-01-23T07:20:00Z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