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trPr>
          <w:trHeight w:val="400"/>
        </w:trPr>
        <w:tc>
          <w:tcPr>
            <w:tcW w:w="9962" w:type="dxa"/>
            <w:gridSpan w:val="3"/>
          </w:tcPr>
          <w:p>
            <w:pPr>
              <w:suppressAutoHyphens/>
              <w:kinsoku w:val="0"/>
              <w:autoSpaceDE w:val="0"/>
              <w:autoSpaceDN w:val="0"/>
              <w:spacing w:line="0" w:lineRule="atLeast"/>
              <w:jc w:val="center"/>
              <w:rPr>
                <w:rFonts w:ascii="ＭＳ ゴシック" w:eastAsia="ＭＳ ゴシック" w:hAnsi="ＭＳ ゴシック"/>
              </w:rPr>
            </w:pPr>
            <w:bookmarkStart w:id="0" w:name="_Hlk176367904"/>
            <w:r>
              <w:rPr>
                <w:rFonts w:ascii="ＭＳ ゴシック" w:eastAsia="ＭＳ ゴシック" w:hAnsi="ＭＳ ゴシック" w:hint="eastAsia"/>
              </w:rPr>
              <w:t>認定権者記載欄</w:t>
            </w:r>
          </w:p>
        </w:tc>
      </w:tr>
      <w:tr>
        <w:trPr>
          <w:trHeight w:val="305"/>
        </w:trPr>
        <w:tc>
          <w:tcPr>
            <w:tcW w:w="3343" w:type="dxa"/>
            <w:tcBorders>
              <w:top w:val="single" w:sz="24" w:space="0" w:color="auto"/>
              <w:left w:val="single" w:sz="24" w:space="0" w:color="auto"/>
              <w:bottom w:val="single" w:sz="24" w:space="0" w:color="auto"/>
              <w:right w:val="single" w:sz="24" w:space="0" w:color="auto"/>
            </w:tcBorders>
          </w:tcPr>
          <w:p>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pPr>
              <w:suppressAutoHyphens/>
              <w:kinsoku w:val="0"/>
              <w:autoSpaceDE w:val="0"/>
              <w:autoSpaceDN w:val="0"/>
              <w:spacing w:line="0" w:lineRule="atLeast"/>
              <w:jc w:val="left"/>
              <w:rPr>
                <w:rFonts w:ascii="ＭＳ ゴシック" w:eastAsia="ＭＳ ゴシック" w:hAnsi="ＭＳ ゴシック"/>
              </w:rPr>
            </w:pPr>
          </w:p>
        </w:tc>
        <w:tc>
          <w:tcPr>
            <w:tcW w:w="3276" w:type="dxa"/>
          </w:tcPr>
          <w:p>
            <w:pPr>
              <w:suppressAutoHyphens/>
              <w:kinsoku w:val="0"/>
              <w:autoSpaceDE w:val="0"/>
              <w:autoSpaceDN w:val="0"/>
              <w:spacing w:line="0" w:lineRule="atLeast"/>
              <w:jc w:val="left"/>
              <w:rPr>
                <w:rFonts w:ascii="ＭＳ ゴシック" w:eastAsia="ＭＳ ゴシック" w:hAnsi="ＭＳ ゴシック"/>
              </w:rPr>
            </w:pPr>
          </w:p>
        </w:tc>
      </w:tr>
      <w:tr>
        <w:trPr>
          <w:trHeight w:val="154"/>
        </w:trPr>
        <w:tc>
          <w:tcPr>
            <w:tcW w:w="3343" w:type="dxa"/>
            <w:tcBorders>
              <w:top w:val="single" w:sz="24" w:space="0" w:color="auto"/>
            </w:tcBorders>
          </w:tcPr>
          <w:p>
            <w:pPr>
              <w:suppressAutoHyphens/>
              <w:kinsoku w:val="0"/>
              <w:autoSpaceDE w:val="0"/>
              <w:autoSpaceDN w:val="0"/>
              <w:spacing w:line="0" w:lineRule="atLeast"/>
              <w:jc w:val="left"/>
              <w:rPr>
                <w:rFonts w:ascii="ＭＳ ゴシック" w:eastAsia="ＭＳ ゴシック" w:hAnsi="ＭＳ ゴシック"/>
              </w:rPr>
            </w:pPr>
          </w:p>
        </w:tc>
        <w:tc>
          <w:tcPr>
            <w:tcW w:w="3343" w:type="dxa"/>
          </w:tcPr>
          <w:p>
            <w:pPr>
              <w:suppressAutoHyphens/>
              <w:kinsoku w:val="0"/>
              <w:autoSpaceDE w:val="0"/>
              <w:autoSpaceDN w:val="0"/>
              <w:spacing w:line="0" w:lineRule="atLeast"/>
              <w:jc w:val="left"/>
              <w:rPr>
                <w:rFonts w:ascii="ＭＳ ゴシック" w:eastAsia="ＭＳ ゴシック" w:hAnsi="ＭＳ ゴシック"/>
              </w:rPr>
            </w:pPr>
          </w:p>
        </w:tc>
        <w:tc>
          <w:tcPr>
            <w:tcW w:w="3276" w:type="dxa"/>
          </w:tcPr>
          <w:p>
            <w:pPr>
              <w:suppressAutoHyphens/>
              <w:kinsoku w:val="0"/>
              <w:autoSpaceDE w:val="0"/>
              <w:autoSpaceDN w:val="0"/>
              <w:spacing w:line="0" w:lineRule="atLeast"/>
              <w:jc w:val="left"/>
              <w:rPr>
                <w:rFonts w:ascii="ＭＳ ゴシック" w:eastAsia="ＭＳ ゴシック" w:hAnsi="ＭＳ ゴシック"/>
              </w:rPr>
            </w:pPr>
          </w:p>
        </w:tc>
      </w:tr>
    </w:tbl>
    <w:bookmarkEnd w:id="0"/>
    <w:p>
      <w:pPr>
        <w:suppressAutoHyphens/>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tc>
          <w:tcPr>
            <w:tcW w:w="10035"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p>
          <w:p>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中小企業信用保険法第２条第５項第５号の規定による認定申請書（ロ－①）</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spacing w:line="0" w:lineRule="atLeast"/>
              <w:ind w:rightChars="331" w:right="70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岩見沢市長　殿</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pPr>
              <w:suppressAutoHyphens/>
              <w:kinsoku w:val="0"/>
              <w:overflowPunct w:val="0"/>
              <w:autoSpaceDE w:val="0"/>
              <w:autoSpaceDN w:val="0"/>
              <w:adjustRightInd w:val="0"/>
              <w:spacing w:line="0" w:lineRule="atLeast"/>
              <w:ind w:rightChars="204" w:right="432" w:firstLineChars="2674" w:firstLine="5669"/>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lang w:eastAsia="zh-TW"/>
              </w:rPr>
              <w:t>住　所</w:t>
            </w:r>
            <w:r>
              <w:rPr>
                <w:rFonts w:ascii="ＭＳ ゴシック" w:eastAsia="ＭＳ ゴシック" w:hAnsi="ＭＳ ゴシック" w:hint="eastAsia"/>
                <w:color w:val="000000"/>
                <w:kern w:val="0"/>
                <w:u w:val="single" w:color="000000"/>
              </w:rPr>
              <w:t xml:space="preserve">　　　　　　　　　　　　　</w:t>
            </w:r>
          </w:p>
          <w:p>
            <w:pPr>
              <w:suppressAutoHyphens/>
              <w:kinsoku w:val="0"/>
              <w:overflowPunct w:val="0"/>
              <w:autoSpaceDE w:val="0"/>
              <w:autoSpaceDN w:val="0"/>
              <w:adjustRightInd w:val="0"/>
              <w:spacing w:line="0" w:lineRule="atLeast"/>
              <w:ind w:rightChars="417" w:right="884"/>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spacing w:line="0" w:lineRule="atLeast"/>
              <w:ind w:rightChars="232" w:right="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af8"/>
              <w:spacing w:line="0" w:lineRule="atLeas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trPr>
                <w:trHeight w:val="366"/>
              </w:trPr>
              <w:tc>
                <w:tcPr>
                  <w:tcW w:w="3263" w:type="dxa"/>
                  <w:tcBorders>
                    <w:top w:val="single" w:sz="24" w:space="0" w:color="auto"/>
                    <w:left w:val="single" w:sz="24" w:space="0" w:color="auto"/>
                    <w:bottom w:val="single" w:sz="24" w:space="0" w:color="auto"/>
                    <w:right w:val="single" w:sz="24" w:space="0" w:color="auto"/>
                  </w:tcBorders>
                </w:tcPr>
                <w:p>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265" w:type="dxa"/>
                </w:tcPr>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trPr>
                <w:trHeight w:val="381"/>
              </w:trPr>
              <w:tc>
                <w:tcPr>
                  <w:tcW w:w="3263" w:type="dxa"/>
                  <w:tcBorders>
                    <w:top w:val="single" w:sz="24" w:space="0" w:color="auto"/>
                  </w:tcBorders>
                </w:tcPr>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265" w:type="dxa"/>
                </w:tcPr>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265" w:type="dxa"/>
                </w:tcPr>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suppressAutoHyphens/>
              <w:kinsoku w:val="0"/>
              <w:overflowPunct w:val="0"/>
              <w:autoSpaceDE w:val="0"/>
              <w:autoSpaceDN w:val="0"/>
              <w:adjustRightInd w:val="0"/>
              <w:spacing w:line="0" w:lineRule="atLeast"/>
              <w:jc w:val="center"/>
              <w:textAlignment w:val="baseline"/>
              <w:rPr>
                <w:rFonts w:ascii="ＭＳ ゴシック" w:eastAsia="PMingLiU" w:hAnsi="ＭＳ ゴシック"/>
                <w:color w:val="000000"/>
                <w:kern w:val="0"/>
                <w:lang w:eastAsia="zh-TW"/>
              </w:rPr>
            </w:pPr>
          </w:p>
          <w:p>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lang w:eastAsia="zh-TW"/>
              </w:rPr>
              <w:t>記</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u w:val="single"/>
                <w:lang w:eastAsia="zh-TW"/>
              </w:rPr>
              <w:t xml:space="preserve">　　　年　　　月　　　日</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①原油等の仕入単価の上昇（注２）</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lang w:eastAsia="zh-TW"/>
              </w:rPr>
              <w:t>Ｅ</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 xml:space="preserve">　　　　　ｅ</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w:t>
            </w:r>
            <w:r>
              <w:rPr>
                <w:rFonts w:ascii="ＭＳ ゴシック" w:eastAsia="ＭＳ ゴシック" w:hAnsi="ＭＳ ゴシック"/>
                <w:color w:val="000000"/>
                <w:kern w:val="0"/>
                <w:lang w:eastAsia="zh-TW"/>
              </w:rPr>
              <w:t>100</w:t>
            </w:r>
            <w:r>
              <w:rPr>
                <w:rFonts w:ascii="ＭＳ ゴシック" w:eastAsia="ＭＳ ゴシック" w:hAnsi="ＭＳ ゴシック" w:hint="eastAsia"/>
                <w:color w:val="000000"/>
                <w:kern w:val="0"/>
                <w:lang w:eastAsia="zh-TW"/>
              </w:rPr>
              <w:t>－</w:t>
            </w:r>
            <w:r>
              <w:rPr>
                <w:rFonts w:ascii="ＭＳ ゴシック" w:eastAsia="ＭＳ ゴシック" w:hAnsi="ＭＳ ゴシック"/>
                <w:color w:val="000000"/>
                <w:kern w:val="0"/>
                <w:lang w:eastAsia="zh-TW"/>
              </w:rPr>
              <w:t>100</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上昇率　　　　　　　％</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Ｅ：原油等の最近１か月間における平均仕入れ単価（　　　年　　　月）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ｅ：Ｅの期間に対応する前年１か月間の平均仕入れ単価（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②原油等が売上原価に占める割合（注２）</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color w:val="000000"/>
                <w:kern w:val="0"/>
                <w:u w:val="single" w:color="000000"/>
              </w:rPr>
              <w:t xml:space="preserve"> </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依存率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Ｃ：最近１か月の売上原価（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Ｓ：Ｃの売上原価に対応する原油等の仕入額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③製品等価格への転嫁の状況（注３）</w:t>
            </w:r>
          </w:p>
          <w:p>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p>
          <w:p>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＝Ｐ</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Ｐ＝</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Ａ：最近３か月間の原油等の仕入額</w:t>
            </w:r>
          </w:p>
          <w:p>
            <w:pPr>
              <w:suppressAutoHyphens/>
              <w:kinsoku w:val="0"/>
              <w:overflowPunct w:val="0"/>
              <w:autoSpaceDE w:val="0"/>
              <w:autoSpaceDN w:val="0"/>
              <w:adjustRightInd w:val="0"/>
              <w:spacing w:line="0" w:lineRule="atLeast"/>
              <w:ind w:firstLineChars="300" w:firstLine="63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ａ：Ａの期間に対応する前年３か月間の原油等の仕入額</w:t>
            </w:r>
          </w:p>
          <w:p>
            <w:pPr>
              <w:suppressAutoHyphens/>
              <w:kinsoku w:val="0"/>
              <w:overflowPunct w:val="0"/>
              <w:autoSpaceDE w:val="0"/>
              <w:autoSpaceDN w:val="0"/>
              <w:adjustRightInd w:val="0"/>
              <w:spacing w:line="0" w:lineRule="atLeast"/>
              <w:ind w:firstLineChars="300" w:firstLine="63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Ｂ：最近３か月間の売上高　</w:t>
            </w:r>
          </w:p>
          <w:p>
            <w:pPr>
              <w:suppressAutoHyphens/>
              <w:kinsoku w:val="0"/>
              <w:overflowPunct w:val="0"/>
              <w:autoSpaceDE w:val="0"/>
              <w:autoSpaceDN w:val="0"/>
              <w:adjustRightInd w:val="0"/>
              <w:spacing w:line="0" w:lineRule="atLeast"/>
              <w:ind w:firstLineChars="300" w:firstLine="63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ｂ：Ｂの期間に対応する前年３か月間の売上高</w:t>
            </w:r>
          </w:p>
          <w:p>
            <w:pPr>
              <w:suppressAutoHyphens/>
              <w:kinsoku w:val="0"/>
              <w:overflowPunct w:val="0"/>
              <w:autoSpaceDE w:val="0"/>
              <w:autoSpaceDN w:val="0"/>
              <w:adjustRightInd w:val="0"/>
              <w:spacing w:line="0" w:lineRule="atLeast"/>
              <w:ind w:firstLineChars="300" w:firstLine="63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p>
          <w:p>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岩商第　　　　号　　　　　　年　　　月　　　日</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pPr>
              <w:suppressAutoHyphens/>
              <w:kinsoku w:val="0"/>
              <w:overflowPunct w:val="0"/>
              <w:autoSpaceDE w:val="0"/>
              <w:autoSpaceDN w:val="0"/>
              <w:adjustRightInd w:val="0"/>
              <w:spacing w:line="0" w:lineRule="atLeast"/>
              <w:ind w:firstLineChars="1700" w:firstLine="360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認定者名　　岩見沢市長　松野　哲</w:t>
            </w:r>
          </w:p>
        </w:tc>
      </w:tr>
    </w:tbl>
    <w:p>
      <w:pPr>
        <w:suppressAutoHyphens/>
        <w:spacing w:line="0"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pPr>
        <w:suppressAutoHyphens/>
        <w:spacing w:line="0"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（注２）上昇率及び依存率が２０％以上となっていること。</w:t>
      </w:r>
    </w:p>
    <w:p>
      <w:pPr>
        <w:suppressAutoHyphens/>
        <w:spacing w:line="0" w:lineRule="atLeast"/>
        <w:ind w:left="738" w:hanging="73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（注３）Ｐ＞０となっていること。</w:t>
      </w:r>
    </w:p>
    <w:p>
      <w:pPr>
        <w:suppressAutoHyphens/>
        <w:spacing w:line="0" w:lineRule="atLeast"/>
        <w:ind w:left="738" w:hanging="73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（注４）申請者全体の値を記載。</w:t>
      </w:r>
    </w:p>
    <w:p>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pPr>
        <w:pStyle w:val="af0"/>
        <w:numPr>
          <w:ilvl w:val="0"/>
          <w:numId w:val="49"/>
        </w:numPr>
        <w:suppressAutoHyphens/>
        <w:spacing w:line="0" w:lineRule="atLeast"/>
        <w:ind w:leftChars="0" w:rightChars="100" w:right="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pPr>
        <w:pStyle w:val="af0"/>
        <w:numPr>
          <w:ilvl w:val="0"/>
          <w:numId w:val="49"/>
        </w:numPr>
        <w:suppressAutoHyphens/>
        <w:spacing w:line="0" w:lineRule="atLeast"/>
        <w:ind w:leftChars="0" w:rightChars="100" w:right="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pPr>
        <w:suppressAutoHyphens/>
        <w:spacing w:line="0" w:lineRule="atLeast"/>
        <w:jc w:val="left"/>
        <w:textAlignment w:val="baseline"/>
        <w:rPr>
          <w:rFonts w:ascii="ＭＳ ゴシック" w:eastAsia="ＭＳ ゴシック" w:hAnsi="ＭＳ ゴシック"/>
          <w:color w:val="000000"/>
          <w:kern w:val="0"/>
        </w:rPr>
      </w:pPr>
    </w:p>
    <w:p>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pPr>
        <w:widowControl/>
        <w:spacing w:line="0" w:lineRule="atLeast"/>
        <w:jc w:val="righ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lastRenderedPageBreak/>
        <w:t>（認定申請書ロ－①の添付書類（例））</w:t>
      </w:r>
    </w:p>
    <w:p>
      <w:pPr>
        <w:suppressAutoHyphens/>
        <w:kinsoku w:val="0"/>
        <w:autoSpaceDE w:val="0"/>
        <w:autoSpaceDN w:val="0"/>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申請者名：　（名称及び代表者の氏名）　　</w:t>
      </w:r>
    </w:p>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Style w:val="a3"/>
        <w:tblW w:w="0" w:type="auto"/>
        <w:tblInd w:w="-5" w:type="dxa"/>
        <w:tblLook w:val="04A0" w:firstRow="1" w:lastRow="0" w:firstColumn="1" w:lastColumn="0" w:noHBand="0" w:noVBand="1"/>
      </w:tblPr>
      <w:tblGrid>
        <w:gridCol w:w="3266"/>
        <w:gridCol w:w="2546"/>
        <w:gridCol w:w="2687"/>
      </w:tblGrid>
      <w:tr>
        <w:tc>
          <w:tcPr>
            <w:tcW w:w="3266" w:type="dxa"/>
          </w:tcPr>
          <w:p>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業種（※１）</w:t>
            </w:r>
          </w:p>
        </w:tc>
        <w:tc>
          <w:tcPr>
            <w:tcW w:w="2546" w:type="dxa"/>
          </w:tcPr>
          <w:p>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2687" w:type="dxa"/>
          </w:tcPr>
          <w:p>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tc>
          <w:tcPr>
            <w:tcW w:w="3266"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254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687"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66" w:type="dxa"/>
          </w:tcPr>
          <w:p>
            <w:pPr>
              <w:widowControl/>
              <w:spacing w:line="0" w:lineRule="atLeast"/>
              <w:jc w:val="left"/>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△△△△業、■■■業</w:t>
            </w:r>
          </w:p>
          <w:p>
            <w:pPr>
              <w:widowControl/>
              <w:spacing w:line="0" w:lineRule="atLeast"/>
              <w:jc w:val="left"/>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（※２）</w:t>
            </w:r>
          </w:p>
        </w:tc>
        <w:tc>
          <w:tcPr>
            <w:tcW w:w="254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687"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66"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254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687"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66"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254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687"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66" w:type="dxa"/>
          </w:tcPr>
          <w:p>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254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687"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pPr>
        <w:widowControl/>
        <w:spacing w:line="0" w:lineRule="atLeast"/>
        <w:ind w:left="707" w:hangingChars="292" w:hanging="707"/>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※１：業種欄には、営んでいる全ての事業が属する業種（</w:t>
      </w:r>
      <w:r>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pPr>
        <w:widowControl/>
        <w:spacing w:line="0" w:lineRule="atLeast"/>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※２：指定業種の売上高を合算して記載することも可</w:t>
      </w:r>
    </w:p>
    <w:p>
      <w:pPr>
        <w:suppressAutoHyphens/>
        <w:kinsoku w:val="0"/>
        <w:autoSpaceDE w:val="0"/>
        <w:autoSpaceDN w:val="0"/>
        <w:spacing w:beforeLines="50" w:before="183"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（表２：企業全体に係る原油等の最近１か月間の仕入単価の上昇）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tc>
          <w:tcPr>
            <w:tcW w:w="1271" w:type="dxa"/>
          </w:tcPr>
          <w:p>
            <w:pPr>
              <w:spacing w:line="0" w:lineRule="atLeast"/>
              <w:rPr>
                <w:rFonts w:ascii="ＭＳ ゴシック" w:eastAsia="ＭＳ ゴシック" w:hAnsi="ＭＳ ゴシック"/>
                <w:sz w:val="24"/>
              </w:rPr>
            </w:pPr>
          </w:p>
        </w:tc>
        <w:tc>
          <w:tcPr>
            <w:tcW w:w="2977" w:type="dxa"/>
          </w:tcPr>
          <w:p>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原油等の最近１か月間の平均仕入単価</w:t>
            </w:r>
          </w:p>
        </w:tc>
        <w:tc>
          <w:tcPr>
            <w:tcW w:w="2410" w:type="dxa"/>
          </w:tcPr>
          <w:p>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原油等の前年同月の平均仕入単価</w:t>
            </w:r>
          </w:p>
        </w:tc>
        <w:tc>
          <w:tcPr>
            <w:tcW w:w="2409" w:type="dxa"/>
          </w:tcPr>
          <w:p>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原油等の仕入単価の上昇率</w:t>
            </w:r>
          </w:p>
          <w:p>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（E/ｅ×100－100）</w:t>
            </w:r>
          </w:p>
        </w:tc>
      </w:tr>
      <w:tr>
        <w:tc>
          <w:tcPr>
            <w:tcW w:w="1271" w:type="dxa"/>
          </w:tcPr>
          <w:p>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企業全体</w:t>
            </w:r>
          </w:p>
        </w:tc>
        <w:tc>
          <w:tcPr>
            <w:tcW w:w="2977" w:type="dxa"/>
          </w:tcPr>
          <w:p>
            <w:pPr>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10" w:type="dxa"/>
          </w:tcPr>
          <w:p>
            <w:pPr>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09" w:type="dxa"/>
          </w:tcPr>
          <w:p>
            <w:pPr>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pPr>
        <w:suppressAutoHyphens/>
        <w:kinsoku w:val="0"/>
        <w:autoSpaceDE w:val="0"/>
        <w:autoSpaceDN w:val="0"/>
        <w:spacing w:beforeLines="50" w:before="183"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（表３：企業全体の売上原価に占める原油等の仕入価格の割合</w:t>
      </w:r>
      <w:r>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trPr>
          <w:trHeight w:val="1147"/>
        </w:trPr>
        <w:tc>
          <w:tcPr>
            <w:tcW w:w="1271" w:type="dxa"/>
          </w:tcPr>
          <w:p>
            <w:pPr>
              <w:spacing w:line="0" w:lineRule="atLeast"/>
              <w:jc w:val="center"/>
              <w:rPr>
                <w:rFonts w:ascii="ＭＳ ゴシック" w:eastAsia="ＭＳ ゴシック" w:hAnsi="ＭＳ ゴシック"/>
                <w:sz w:val="24"/>
              </w:rPr>
            </w:pPr>
          </w:p>
        </w:tc>
        <w:tc>
          <w:tcPr>
            <w:tcW w:w="2693" w:type="dxa"/>
          </w:tcPr>
          <w:p>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最近１か月間の</w:t>
            </w:r>
          </w:p>
          <w:p>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売上原価</w:t>
            </w:r>
          </w:p>
          <w:p>
            <w:pPr>
              <w:spacing w:line="0" w:lineRule="atLeast"/>
              <w:jc w:val="center"/>
              <w:rPr>
                <w:rFonts w:ascii="ＭＳ ゴシック" w:eastAsia="ＭＳ ゴシック" w:hAnsi="ＭＳ ゴシック"/>
                <w:sz w:val="24"/>
              </w:rPr>
            </w:pPr>
          </w:p>
        </w:tc>
        <w:tc>
          <w:tcPr>
            <w:tcW w:w="2835" w:type="dxa"/>
          </w:tcPr>
          <w:p>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最近１か月間の売上原価に対応する原油等の仕入価格</w:t>
            </w:r>
          </w:p>
        </w:tc>
        <w:tc>
          <w:tcPr>
            <w:tcW w:w="2987" w:type="dxa"/>
          </w:tcPr>
          <w:p>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売上原価に占める原油等の仕入価格の割合</w:t>
            </w:r>
          </w:p>
          <w:p>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（S/C×100）</w:t>
            </w:r>
          </w:p>
        </w:tc>
      </w:tr>
      <w:tr>
        <w:trPr>
          <w:trHeight w:val="363"/>
        </w:trPr>
        <w:tc>
          <w:tcPr>
            <w:tcW w:w="1271" w:type="dxa"/>
          </w:tcPr>
          <w:p>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企業全体</w:t>
            </w:r>
          </w:p>
        </w:tc>
        <w:tc>
          <w:tcPr>
            <w:tcW w:w="2693" w:type="dxa"/>
          </w:tcPr>
          <w:p>
            <w:pPr>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円【Ｃ】</w:t>
            </w:r>
          </w:p>
        </w:tc>
        <w:tc>
          <w:tcPr>
            <w:tcW w:w="2835" w:type="dxa"/>
            <w:vAlign w:val="center"/>
          </w:tcPr>
          <w:p>
            <w:pPr>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円【Ｓ】</w:t>
            </w:r>
          </w:p>
        </w:tc>
        <w:tc>
          <w:tcPr>
            <w:tcW w:w="2987" w:type="dxa"/>
          </w:tcPr>
          <w:p>
            <w:pPr>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pPr>
        <w:suppressAutoHyphens/>
        <w:kinsoku w:val="0"/>
        <w:autoSpaceDE w:val="0"/>
        <w:autoSpaceDN w:val="0"/>
        <w:spacing w:line="0" w:lineRule="atLeast"/>
        <w:jc w:val="left"/>
        <w:rPr>
          <w:rFonts w:ascii="ＭＳ ゴシック" w:eastAsia="ＭＳ ゴシック" w:hAnsi="ＭＳ ゴシック"/>
          <w:sz w:val="24"/>
        </w:rPr>
      </w:pPr>
    </w:p>
    <w:p>
      <w:pPr>
        <w:suppressAutoHyphens/>
        <w:kinsoku w:val="0"/>
        <w:autoSpaceDE w:val="0"/>
        <w:autoSpaceDN w:val="0"/>
        <w:spacing w:line="0" w:lineRule="atLeast"/>
        <w:jc w:val="left"/>
        <w:rPr>
          <w:rFonts w:ascii="ＭＳ ゴシック" w:eastAsia="ＭＳ ゴシック" w:hAnsi="ＭＳ ゴシック" w:cs="ＭＳ ゴシック"/>
          <w:color w:val="000000"/>
          <w:kern w:val="0"/>
          <w:sz w:val="24"/>
        </w:rPr>
      </w:pPr>
      <w:r>
        <w:rPr>
          <w:rFonts w:ascii="ＭＳ ゴシック" w:eastAsia="ＭＳ ゴシック" w:hAnsi="ＭＳ ゴシック" w:hint="eastAsia"/>
          <w:sz w:val="24"/>
        </w:rPr>
        <w:t>（表４：</w:t>
      </w:r>
      <w:r>
        <w:rPr>
          <w:rFonts w:ascii="ＭＳ ゴシック" w:eastAsia="ＭＳ ゴシック" w:hAnsi="ＭＳ ゴシック" w:cs="ＭＳ ゴシック" w:hint="eastAsia"/>
          <w:color w:val="000000"/>
          <w:kern w:val="0"/>
          <w:sz w:val="24"/>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tc>
          <w:tcPr>
            <w:tcW w:w="809" w:type="dxa"/>
          </w:tcPr>
          <w:p>
            <w:pPr>
              <w:suppressAutoHyphens/>
              <w:kinsoku w:val="0"/>
              <w:autoSpaceDE w:val="0"/>
              <w:autoSpaceDN w:val="0"/>
              <w:spacing w:line="0" w:lineRule="atLeast"/>
              <w:jc w:val="center"/>
              <w:rPr>
                <w:rFonts w:ascii="ＭＳ ゴシック" w:eastAsia="ＭＳ ゴシック" w:hAnsi="ＭＳ ゴシック"/>
                <w:sz w:val="24"/>
              </w:rPr>
            </w:pPr>
          </w:p>
        </w:tc>
        <w:tc>
          <w:tcPr>
            <w:tcW w:w="1596" w:type="dxa"/>
          </w:tcPr>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最近３か月間の原油等の</w:t>
            </w:r>
          </w:p>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仕入価格</w:t>
            </w:r>
          </w:p>
        </w:tc>
        <w:tc>
          <w:tcPr>
            <w:tcW w:w="1559" w:type="dxa"/>
          </w:tcPr>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最近３か月間の売上高</w:t>
            </w:r>
          </w:p>
        </w:tc>
        <w:tc>
          <w:tcPr>
            <w:tcW w:w="958" w:type="dxa"/>
          </w:tcPr>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（A/B）</w:t>
            </w:r>
          </w:p>
        </w:tc>
        <w:tc>
          <w:tcPr>
            <w:tcW w:w="1328" w:type="dxa"/>
          </w:tcPr>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前年同期の原油等の</w:t>
            </w:r>
          </w:p>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仕入価格</w:t>
            </w:r>
          </w:p>
        </w:tc>
        <w:tc>
          <w:tcPr>
            <w:tcW w:w="1458" w:type="dxa"/>
          </w:tcPr>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前年同期の</w:t>
            </w:r>
          </w:p>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売上高</w:t>
            </w:r>
          </w:p>
        </w:tc>
        <w:tc>
          <w:tcPr>
            <w:tcW w:w="935" w:type="dxa"/>
          </w:tcPr>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（a/b）</w:t>
            </w:r>
          </w:p>
        </w:tc>
        <w:tc>
          <w:tcPr>
            <w:tcW w:w="1133" w:type="dxa"/>
          </w:tcPr>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（A/B）</w:t>
            </w:r>
          </w:p>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－（a/b）＝Ｐ</w:t>
            </w:r>
          </w:p>
        </w:tc>
      </w:tr>
      <w:tr>
        <w:tc>
          <w:tcPr>
            <w:tcW w:w="809" w:type="dxa"/>
          </w:tcPr>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1596" w:type="dxa"/>
          </w:tcPr>
          <w:p>
            <w:pPr>
              <w:suppressAutoHyphens/>
              <w:kinsoku w:val="0"/>
              <w:autoSpaceDE w:val="0"/>
              <w:autoSpaceDN w:val="0"/>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p>
            <w:pPr>
              <w:suppressAutoHyphens/>
              <w:kinsoku w:val="0"/>
              <w:autoSpaceDE w:val="0"/>
              <w:autoSpaceDN w:val="0"/>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559" w:type="dxa"/>
          </w:tcPr>
          <w:p>
            <w:pPr>
              <w:suppressAutoHyphens/>
              <w:kinsoku w:val="0"/>
              <w:autoSpaceDE w:val="0"/>
              <w:autoSpaceDN w:val="0"/>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p>
            <w:pPr>
              <w:suppressAutoHyphens/>
              <w:kinsoku w:val="0"/>
              <w:autoSpaceDE w:val="0"/>
              <w:autoSpaceDN w:val="0"/>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958" w:type="dxa"/>
          </w:tcPr>
          <w:p>
            <w:pPr>
              <w:suppressAutoHyphens/>
              <w:kinsoku w:val="0"/>
              <w:autoSpaceDE w:val="0"/>
              <w:autoSpaceDN w:val="0"/>
              <w:spacing w:line="0" w:lineRule="atLeast"/>
              <w:jc w:val="right"/>
              <w:rPr>
                <w:rFonts w:ascii="ＭＳ ゴシック" w:eastAsia="ＭＳ ゴシック" w:hAnsi="ＭＳ ゴシック"/>
                <w:sz w:val="24"/>
              </w:rPr>
            </w:pPr>
          </w:p>
        </w:tc>
        <w:tc>
          <w:tcPr>
            <w:tcW w:w="1328" w:type="dxa"/>
          </w:tcPr>
          <w:p>
            <w:pPr>
              <w:suppressAutoHyphens/>
              <w:kinsoku w:val="0"/>
              <w:autoSpaceDE w:val="0"/>
              <w:autoSpaceDN w:val="0"/>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p>
            <w:pPr>
              <w:suppressAutoHyphens/>
              <w:kinsoku w:val="0"/>
              <w:autoSpaceDE w:val="0"/>
              <w:autoSpaceDN w:val="0"/>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458" w:type="dxa"/>
          </w:tcPr>
          <w:p>
            <w:pPr>
              <w:suppressAutoHyphens/>
              <w:kinsoku w:val="0"/>
              <w:autoSpaceDE w:val="0"/>
              <w:autoSpaceDN w:val="0"/>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p>
            <w:pPr>
              <w:suppressAutoHyphens/>
              <w:kinsoku w:val="0"/>
              <w:autoSpaceDE w:val="0"/>
              <w:autoSpaceDN w:val="0"/>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935" w:type="dxa"/>
          </w:tcPr>
          <w:p>
            <w:pPr>
              <w:suppressAutoHyphens/>
              <w:kinsoku w:val="0"/>
              <w:autoSpaceDE w:val="0"/>
              <w:autoSpaceDN w:val="0"/>
              <w:spacing w:line="0" w:lineRule="atLeast"/>
              <w:jc w:val="right"/>
              <w:rPr>
                <w:rFonts w:ascii="ＭＳ ゴシック" w:eastAsia="ＭＳ ゴシック" w:hAnsi="ＭＳ ゴシック"/>
                <w:sz w:val="24"/>
              </w:rPr>
            </w:pPr>
          </w:p>
        </w:tc>
        <w:tc>
          <w:tcPr>
            <w:tcW w:w="1133" w:type="dxa"/>
          </w:tcPr>
          <w:p>
            <w:pPr>
              <w:suppressAutoHyphens/>
              <w:kinsoku w:val="0"/>
              <w:autoSpaceDE w:val="0"/>
              <w:autoSpaceDN w:val="0"/>
              <w:spacing w:line="0" w:lineRule="atLeast"/>
              <w:jc w:val="right"/>
              <w:rPr>
                <w:rFonts w:ascii="ＭＳ ゴシック" w:eastAsia="ＭＳ ゴシック" w:hAnsi="ＭＳ ゴシック"/>
                <w:sz w:val="24"/>
              </w:rPr>
            </w:pPr>
          </w:p>
        </w:tc>
      </w:tr>
    </w:tbl>
    <w:p>
      <w:pPr>
        <w:suppressAutoHyphens/>
        <w:kinsoku w:val="0"/>
        <w:autoSpaceDE w:val="0"/>
        <w:autoSpaceDN w:val="0"/>
        <w:spacing w:line="0" w:lineRule="atLeast"/>
        <w:ind w:left="726" w:hangingChars="300" w:hanging="726"/>
        <w:jc w:val="left"/>
        <w:rPr>
          <w:rFonts w:ascii="ＭＳ ゴシック" w:eastAsia="ＭＳ ゴシック" w:hAnsi="ＭＳ ゴシック"/>
          <w:sz w:val="24"/>
        </w:rPr>
      </w:pPr>
      <w:r>
        <w:rPr>
          <w:rFonts w:ascii="ＭＳ ゴシック" w:eastAsia="ＭＳ ゴシック" w:hAnsi="ＭＳ ゴシック" w:hint="eastAsia"/>
          <w:sz w:val="24"/>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sectPr>
      <w:footerReference w:type="default" r:id="rId11"/>
      <w:pgSz w:w="11906" w:h="16838"/>
      <w:pgMar w:top="851" w:right="1168" w:bottom="284" w:left="1168" w:header="720" w:footer="284"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jc w:val="center"/>
    </w:pPr>
  </w:p>
  <w:p>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Theme="majorHAnsi" w:eastAsiaTheme="majorEastAsia" w:hAnsiTheme="majorHAnsi"/>
      <w:sz w:val="24"/>
      <w:szCs w:val="20"/>
    </w:rPr>
  </w:style>
  <w:style w:type="paragraph" w:styleId="2">
    <w:name w:val="heading 2"/>
    <w:basedOn w:val="a"/>
    <w:next w:val="a"/>
    <w:link w:val="20"/>
    <w:qFormat/>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character" w:styleId="ab">
    <w:name w:val="annotation reference"/>
    <w:semiHidden/>
    <w:rPr>
      <w:sz w:val="18"/>
      <w:szCs w:val="18"/>
    </w:rPr>
  </w:style>
  <w:style w:type="paragraph" w:styleId="ac">
    <w:name w:val="annotation text"/>
    <w:basedOn w:val="a"/>
    <w:link w:val="ad"/>
    <w:semiHidden/>
    <w:pPr>
      <w:jc w:val="left"/>
    </w:pPr>
  </w:style>
  <w:style w:type="paragraph" w:styleId="ae">
    <w:name w:val="annotation subject"/>
    <w:basedOn w:val="ac"/>
    <w:next w:val="ac"/>
    <w:link w:val="af"/>
    <w:semiHidden/>
    <w:rPr>
      <w:b/>
      <w:bCs/>
    </w:rPr>
  </w:style>
  <w:style w:type="character" w:customStyle="1" w:styleId="a7">
    <w:name w:val="ヘッダー (文字)"/>
    <w:link w:val="a6"/>
    <w:locked/>
    <w:rPr>
      <w:kern w:val="2"/>
      <w:sz w:val="21"/>
      <w:szCs w:val="24"/>
    </w:rPr>
  </w:style>
  <w:style w:type="character" w:customStyle="1" w:styleId="a9">
    <w:name w:val="フッター (文字)"/>
    <w:link w:val="a8"/>
    <w:uiPriority w:val="99"/>
    <w:locked/>
    <w:rPr>
      <w:kern w:val="2"/>
      <w:sz w:val="21"/>
      <w:szCs w:val="24"/>
    </w:rPr>
  </w:style>
  <w:style w:type="paragraph" w:styleId="af0">
    <w:name w:val="List Paragraph"/>
    <w:basedOn w:val="a"/>
    <w:qFormat/>
    <w:pPr>
      <w:ind w:leftChars="400" w:left="840"/>
    </w:pPr>
    <w:rPr>
      <w:szCs w:val="22"/>
    </w:rPr>
  </w:style>
  <w:style w:type="paragraph" w:styleId="af1">
    <w:name w:val="Date"/>
    <w:basedOn w:val="a"/>
    <w:next w:val="a"/>
    <w:link w:val="af2"/>
  </w:style>
  <w:style w:type="character" w:customStyle="1" w:styleId="af2">
    <w:name w:val="日付 (文字)"/>
    <w:link w:val="af1"/>
    <w:rPr>
      <w:kern w:val="2"/>
      <w:sz w:val="21"/>
      <w:szCs w:val="24"/>
    </w:rPr>
  </w:style>
  <w:style w:type="paragraph" w:styleId="af3">
    <w:name w:val="Plain Text"/>
    <w:basedOn w:val="a"/>
    <w:link w:val="af4"/>
    <w:unhideWhenUsed/>
    <w:pPr>
      <w:jc w:val="left"/>
    </w:pPr>
    <w:rPr>
      <w:rFonts w:ascii="ＭＳ ゴシック" w:eastAsia="ＭＳ ゴシック" w:hAnsi="Courier New"/>
      <w:sz w:val="20"/>
      <w:szCs w:val="21"/>
    </w:rPr>
  </w:style>
  <w:style w:type="character" w:customStyle="1" w:styleId="af4">
    <w:name w:val="書式なし (文字)"/>
    <w:link w:val="af3"/>
    <w:rPr>
      <w:rFonts w:ascii="ＭＳ ゴシック" w:eastAsia="ＭＳ ゴシック" w:hAnsi="Courier New" w:cs="Courier New"/>
      <w:kern w:val="2"/>
      <w:szCs w:val="21"/>
    </w:rPr>
  </w:style>
  <w:style w:type="paragraph" w:styleId="af5">
    <w:name w:val="Revision"/>
    <w:hidden/>
    <w:rPr>
      <w:kern w:val="2"/>
      <w:sz w:val="21"/>
      <w:szCs w:val="24"/>
    </w:rPr>
  </w:style>
  <w:style w:type="character" w:customStyle="1" w:styleId="ad">
    <w:name w:val="コメント文字列 (文字)"/>
    <w:basedOn w:val="a0"/>
    <w:link w:val="ac"/>
    <w:rPr>
      <w:kern w:val="2"/>
      <w:sz w:val="21"/>
      <w:szCs w:val="24"/>
    </w:rPr>
  </w:style>
  <w:style w:type="paragraph" w:styleId="af6">
    <w:name w:val="Note Heading"/>
    <w:basedOn w:val="a"/>
    <w:next w:val="a"/>
    <w:link w:val="af7"/>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Pr>
      <w:rFonts w:ascii="ＭＳ ゴシック" w:eastAsia="ＭＳ ゴシック" w:hAnsi="ＭＳ ゴシック" w:cs="ＭＳ ゴシック"/>
      <w:color w:val="000000"/>
      <w:sz w:val="21"/>
      <w:szCs w:val="21"/>
    </w:rPr>
  </w:style>
  <w:style w:type="paragraph" w:styleId="af8">
    <w:name w:val="Closing"/>
    <w:basedOn w:val="a"/>
    <w:link w:val="af9"/>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Pr>
      <w:rFonts w:ascii="ＭＳ ゴシック" w:eastAsia="ＭＳ ゴシック" w:hAnsi="ＭＳ ゴシック" w:cs="ＭＳ ゴシック"/>
      <w:color w:val="000000"/>
      <w:sz w:val="21"/>
      <w:szCs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a">
    <w:name w:val="TOC Heading"/>
    <w:basedOn w:val="1"/>
    <w:next w:val="a"/>
    <w:qFormat/>
    <w:pPr>
      <w:outlineLvl w:val="9"/>
    </w:pPr>
  </w:style>
  <w:style w:type="character" w:customStyle="1" w:styleId="a5">
    <w:name w:val="吹き出し (文字)"/>
    <w:basedOn w:val="a0"/>
    <w:link w:val="a4"/>
    <w:rPr>
      <w:rFonts w:ascii="Arial" w:eastAsia="ＭＳ ゴシック" w:hAnsi="Arial"/>
      <w:kern w:val="2"/>
      <w:sz w:val="18"/>
      <w:szCs w:val="18"/>
    </w:rPr>
  </w:style>
  <w:style w:type="character" w:styleId="afb">
    <w:name w:val="Placeholder Text"/>
    <w:basedOn w:val="a0"/>
    <w:rPr>
      <w:color w:val="808080"/>
    </w:rPr>
  </w:style>
  <w:style w:type="character" w:customStyle="1" w:styleId="af">
    <w:name w:val="コメント内容 (文字)"/>
    <w:basedOn w:val="ad"/>
    <w:link w:val="ae"/>
    <w:rPr>
      <w:b/>
      <w:bCs/>
      <w:kern w:val="2"/>
      <w:sz w:val="21"/>
      <w:szCs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character" w:customStyle="1" w:styleId="p">
    <w:name w:val="p"/>
    <w:basedOn w:val="a0"/>
  </w:style>
  <w:style w:type="character" w:styleId="afe">
    <w:name w:val="Hyperlink"/>
    <w:basedOn w:val="a0"/>
    <w:unhideWhenUsed/>
    <w:rPr>
      <w:color w:val="0000FF" w:themeColor="hyperlink"/>
      <w:u w:val="single"/>
    </w:rPr>
  </w:style>
  <w:style w:type="character" w:styleId="aff">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1597</Words>
  <Characters>786</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lg23090</cp:lastModifiedBy>
  <cp:revision>20</cp:revision>
  <cp:lastPrinted>2025-01-21T09:11:00Z</cp:lastPrinted>
  <dcterms:created xsi:type="dcterms:W3CDTF">2024-09-30T11:54:00Z</dcterms:created>
  <dcterms:modified xsi:type="dcterms:W3CDTF">2025-01-23T07:33:00Z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